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374" w:dyaOrig="3374">
          <v:rect xmlns:o="urn:schemas-microsoft-com:office:office" xmlns:v="urn:schemas-microsoft-com:vml" id="rectole0000000000" style="width:168.700000pt;height:16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188"/>
      </w:tblGrid>
      <w:tr>
        <w:trPr>
          <w:trHeight w:val="547" w:hRule="auto"/>
          <w:jc w:val="left"/>
        </w:trPr>
        <w:tc>
          <w:tcPr>
            <w:tcW w:w="9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40"/>
                <w:shd w:fill="auto" w:val="clear"/>
              </w:rPr>
              <w:t xml:space="preserve">GIFT CARD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10"/>
      </w:tblGrid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8"/>
                <w:shd w:fill="auto" w:val="clear"/>
              </w:rPr>
              <w:t xml:space="preserve">ABOUT THIS ITEM</w:t>
            </w:r>
          </w:p>
        </w:tc>
      </w:tr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affixed inside a box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has no fees and no expiration date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No returns and no refunds on Gift Cards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redeemable towards millions of items storewide at Amazon.com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Scan and redeem any Gift Card with a mobile or tablet device via the Amazon App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Free One-Day Shipping (where available)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Customized gift message, if chosen at check-out, only appears on packing slip and not on the actual gift card or carrier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